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1FAC" w:rsidRDefault="00500F8F">
      <w:pPr>
        <w:adjustRightInd/>
        <w:spacing w:line="400" w:lineRule="exact"/>
        <w:jc w:val="center"/>
        <w:rPr>
          <w:rFonts w:ascii="Meiryo UI" w:eastAsia="Meiryo UI" w:hAnsi="Meiryo UI"/>
          <w:b/>
          <w:color w:val="auto"/>
          <w:sz w:val="28"/>
        </w:rPr>
      </w:pPr>
      <w:r>
        <w:rPr>
          <w:rFonts w:ascii="Meiryo UI" w:eastAsia="Meiryo UI" w:hAnsi="Meiryo UI" w:hint="eastAsia"/>
          <w:b/>
          <w:sz w:val="28"/>
        </w:rPr>
        <w:t>○○センター指定管理者評価点加減算制度について（募集時提示資料）</w:t>
      </w:r>
    </w:p>
    <w:p w:rsidR="00E71FAC" w:rsidRDefault="00E71FAC">
      <w:pPr>
        <w:overflowPunct/>
        <w:autoSpaceDE w:val="0"/>
        <w:autoSpaceDN w:val="0"/>
        <w:spacing w:line="400" w:lineRule="exact"/>
        <w:jc w:val="left"/>
        <w:textAlignment w:val="auto"/>
        <w:rPr>
          <w:rFonts w:ascii="Meiryo UI" w:eastAsia="Meiryo UI" w:hAnsi="Meiryo UI"/>
          <w:color w:val="auto"/>
        </w:rPr>
      </w:pPr>
    </w:p>
    <w:p w:rsidR="00E71FAC" w:rsidRDefault="00500F8F">
      <w:pPr>
        <w:overflowPunct/>
        <w:autoSpaceDE w:val="0"/>
        <w:autoSpaceDN w:val="0"/>
        <w:spacing w:line="400" w:lineRule="exact"/>
        <w:jc w:val="left"/>
        <w:textAlignment w:val="auto"/>
        <w:rPr>
          <w:rFonts w:ascii="Meiryo UI" w:eastAsia="Meiryo UI" w:hAnsi="Meiryo UI"/>
          <w:color w:val="auto"/>
        </w:rPr>
      </w:pPr>
      <w:r>
        <w:rPr>
          <w:rFonts w:ascii="Meiryo UI" w:eastAsia="Meiryo UI" w:hAnsi="Meiryo UI" w:hint="eastAsia"/>
          <w:color w:val="auto"/>
        </w:rPr>
        <w:t>１．定　義</w:t>
      </w:r>
    </w:p>
    <w:p w:rsidR="00E71FAC" w:rsidRDefault="00500F8F">
      <w:pPr>
        <w:overflowPunct/>
        <w:autoSpaceDE w:val="0"/>
        <w:autoSpaceDN w:val="0"/>
        <w:spacing w:line="400" w:lineRule="exact"/>
        <w:ind w:firstLineChars="100" w:firstLine="240"/>
        <w:jc w:val="left"/>
        <w:textAlignment w:val="auto"/>
        <w:rPr>
          <w:rFonts w:ascii="Meiryo UI" w:eastAsia="Meiryo UI" w:hAnsi="Meiryo UI"/>
          <w:color w:val="auto"/>
          <w:sz w:val="20"/>
        </w:rPr>
      </w:pPr>
      <w:r>
        <w:rPr>
          <w:rFonts w:ascii="Meiryo UI" w:eastAsia="Meiryo UI" w:hAnsi="Meiryo UI" w:hint="eastAsia"/>
          <w:color w:val="auto"/>
        </w:rPr>
        <w:t>指定管理期間中のモニタリングによる平均評価で、「Ｓ」・「Ａ」ランクの優秀事業者に対して下記の優遇措置を設け、次期公募選定時に反映することができる。</w:t>
      </w:r>
    </w:p>
    <w:p w:rsidR="00E71FAC" w:rsidRDefault="00E71FAC">
      <w:pPr>
        <w:overflowPunct/>
        <w:autoSpaceDE w:val="0"/>
        <w:autoSpaceDN w:val="0"/>
        <w:spacing w:line="400" w:lineRule="exact"/>
        <w:jc w:val="left"/>
        <w:textAlignment w:val="auto"/>
        <w:rPr>
          <w:rFonts w:ascii="Meiryo UI" w:eastAsia="Meiryo UI" w:hAnsi="Meiryo UI"/>
          <w:b/>
          <w:color w:val="auto"/>
        </w:rPr>
      </w:pPr>
    </w:p>
    <w:p w:rsidR="00E71FAC" w:rsidRDefault="00500F8F">
      <w:pPr>
        <w:overflowPunct/>
        <w:autoSpaceDE w:val="0"/>
        <w:autoSpaceDN w:val="0"/>
        <w:spacing w:line="400" w:lineRule="exact"/>
        <w:jc w:val="left"/>
        <w:textAlignment w:val="auto"/>
        <w:rPr>
          <w:rFonts w:ascii="Meiryo UI" w:eastAsia="Meiryo UI" w:hAnsi="Meiryo UI"/>
          <w:color w:val="auto"/>
        </w:rPr>
      </w:pPr>
      <w:r>
        <w:rPr>
          <w:rFonts w:ascii="Meiryo UI" w:eastAsia="Meiryo UI" w:hAnsi="Meiryo UI" w:hint="eastAsia"/>
          <w:color w:val="auto"/>
        </w:rPr>
        <w:t>２．加算・減算の対象となる評価実績</w:t>
      </w:r>
    </w:p>
    <w:p w:rsidR="00E71FAC" w:rsidRDefault="00500F8F">
      <w:pPr>
        <w:overflowPunct/>
        <w:autoSpaceDE w:val="0"/>
        <w:autoSpaceDN w:val="0"/>
        <w:spacing w:line="400" w:lineRule="exact"/>
        <w:ind w:firstLineChars="100" w:firstLine="240"/>
        <w:jc w:val="left"/>
        <w:textAlignment w:val="auto"/>
        <w:rPr>
          <w:rFonts w:ascii="Meiryo UI" w:eastAsia="Meiryo UI" w:hAnsi="Meiryo UI"/>
          <w:color w:val="auto"/>
        </w:rPr>
      </w:pPr>
      <w:r>
        <w:rPr>
          <w:rFonts w:ascii="Meiryo UI" w:eastAsia="Meiryo UI" w:hAnsi="Meiryo UI" w:hint="eastAsia"/>
          <w:color w:val="auto"/>
        </w:rPr>
        <w:t>反映の対象は原則として、選定作業を行う年度の前年度までの評価の結果とする。</w:t>
      </w:r>
    </w:p>
    <w:p w:rsidR="00E71FAC" w:rsidRDefault="00E71FAC">
      <w:pPr>
        <w:overflowPunct/>
        <w:autoSpaceDE w:val="0"/>
        <w:autoSpaceDN w:val="0"/>
        <w:spacing w:line="400" w:lineRule="exact"/>
        <w:jc w:val="left"/>
        <w:textAlignment w:val="auto"/>
        <w:rPr>
          <w:rFonts w:ascii="Meiryo UI" w:eastAsia="Meiryo UI" w:hAnsi="Meiryo UI"/>
          <w:color w:val="auto"/>
        </w:rPr>
      </w:pPr>
    </w:p>
    <w:p w:rsidR="00E71FAC" w:rsidRDefault="00500F8F">
      <w:pPr>
        <w:overflowPunct/>
        <w:autoSpaceDE w:val="0"/>
        <w:autoSpaceDN w:val="0"/>
        <w:spacing w:line="400" w:lineRule="exact"/>
        <w:jc w:val="left"/>
        <w:textAlignment w:val="auto"/>
        <w:rPr>
          <w:rFonts w:ascii="Meiryo UI" w:eastAsia="Meiryo UI" w:hAnsi="Meiryo UI"/>
          <w:color w:val="auto"/>
        </w:rPr>
      </w:pPr>
      <w:r>
        <w:rPr>
          <w:rFonts w:ascii="Meiryo UI" w:eastAsia="Meiryo UI" w:hAnsi="Meiryo UI" w:hint="eastAsia"/>
          <w:color w:val="auto"/>
        </w:rPr>
        <w:t>３．加減算率の範囲</w:t>
      </w:r>
    </w:p>
    <w:p w:rsidR="00E71FAC" w:rsidRDefault="00500F8F">
      <w:pPr>
        <w:overflowPunct/>
        <w:autoSpaceDE w:val="0"/>
        <w:autoSpaceDN w:val="0"/>
        <w:spacing w:line="400" w:lineRule="exact"/>
        <w:ind w:firstLineChars="100" w:firstLine="240"/>
        <w:jc w:val="left"/>
        <w:textAlignment w:val="auto"/>
        <w:rPr>
          <w:rFonts w:ascii="Meiryo UI" w:eastAsia="Meiryo UI" w:hAnsi="Meiryo UI"/>
          <w:color w:val="auto"/>
        </w:rPr>
      </w:pPr>
      <w:r>
        <w:rPr>
          <w:rFonts w:ascii="Meiryo UI" w:eastAsia="Meiryo UI" w:hAnsi="Meiryo UI" w:hint="eastAsia"/>
          <w:color w:val="auto"/>
        </w:rPr>
        <w:t>選定における評価点の加減算は、評価結果の内容により定められた範囲内で、施設所管課が決定する。</w:t>
      </w:r>
    </w:p>
    <w:p w:rsidR="00E71FAC" w:rsidRDefault="00500F8F">
      <w:pPr>
        <w:overflowPunct/>
        <w:autoSpaceDE w:val="0"/>
        <w:autoSpaceDN w:val="0"/>
        <w:spacing w:line="400" w:lineRule="exact"/>
        <w:ind w:firstLineChars="100" w:firstLine="240"/>
        <w:jc w:val="left"/>
        <w:textAlignment w:val="auto"/>
        <w:rPr>
          <w:rFonts w:ascii="Meiryo UI" w:eastAsia="Meiryo UI" w:hAnsi="Meiryo UI"/>
          <w:color w:val="auto"/>
        </w:rPr>
      </w:pPr>
      <w:r>
        <w:rPr>
          <w:rFonts w:ascii="Meiryo UI" w:eastAsia="Meiryo UI" w:hAnsi="Meiryo UI" w:hint="eastAsia"/>
          <w:color w:val="auto"/>
        </w:rPr>
        <w:t>「Ｓ」評価の場合</w:t>
      </w:r>
      <w:r>
        <w:rPr>
          <w:rFonts w:ascii="Meiryo UI" w:eastAsia="Meiryo UI" w:hAnsi="Meiryo UI" w:hint="eastAsia"/>
          <w:color w:val="auto"/>
        </w:rPr>
        <w:tab/>
        <w:t>：総配点の１０％（上限）を総得点に加算</w:t>
      </w:r>
    </w:p>
    <w:p w:rsidR="00E71FAC" w:rsidRDefault="00500F8F">
      <w:pPr>
        <w:overflowPunct/>
        <w:autoSpaceDE w:val="0"/>
        <w:autoSpaceDN w:val="0"/>
        <w:spacing w:line="400" w:lineRule="exact"/>
        <w:ind w:firstLineChars="100" w:firstLine="240"/>
        <w:jc w:val="left"/>
        <w:textAlignment w:val="auto"/>
        <w:rPr>
          <w:rFonts w:ascii="Meiryo UI" w:eastAsia="Meiryo UI" w:hAnsi="Meiryo UI"/>
          <w:color w:val="auto"/>
        </w:rPr>
      </w:pPr>
      <w:r>
        <w:rPr>
          <w:rFonts w:ascii="Meiryo UI" w:eastAsia="Meiryo UI" w:hAnsi="Meiryo UI" w:hint="eastAsia"/>
          <w:color w:val="auto"/>
        </w:rPr>
        <w:t>「Ａ」評価の場合</w:t>
      </w:r>
      <w:r>
        <w:rPr>
          <w:rFonts w:ascii="Meiryo UI" w:eastAsia="Meiryo UI" w:hAnsi="Meiryo UI" w:hint="eastAsia"/>
          <w:color w:val="auto"/>
        </w:rPr>
        <w:tab/>
        <w:t>：５％</w:t>
      </w:r>
    </w:p>
    <w:p w:rsidR="00E71FAC" w:rsidRDefault="00500F8F">
      <w:pPr>
        <w:overflowPunct/>
        <w:autoSpaceDE w:val="0"/>
        <w:autoSpaceDN w:val="0"/>
        <w:spacing w:line="400" w:lineRule="exact"/>
        <w:ind w:firstLineChars="100" w:firstLine="240"/>
        <w:jc w:val="left"/>
        <w:textAlignment w:val="auto"/>
        <w:rPr>
          <w:rFonts w:ascii="Meiryo UI" w:eastAsia="Meiryo UI" w:hAnsi="Meiryo UI"/>
          <w:color w:val="auto"/>
        </w:rPr>
      </w:pPr>
      <w:r>
        <w:rPr>
          <w:rFonts w:ascii="Meiryo UI" w:eastAsia="Meiryo UI" w:hAnsi="Meiryo UI" w:hint="eastAsia"/>
          <w:color w:val="auto"/>
        </w:rPr>
        <w:t>「Ｂ</w:t>
      </w:r>
      <w:r>
        <w:rPr>
          <w:rFonts w:ascii="Meiryo UI" w:eastAsia="Meiryo UI" w:hAnsi="Meiryo UI" w:hint="eastAsia"/>
          <w:color w:val="auto"/>
          <w:vertAlign w:val="superscript"/>
        </w:rPr>
        <w:t>＋</w:t>
      </w:r>
      <w:r>
        <w:rPr>
          <w:rFonts w:ascii="Meiryo UI" w:eastAsia="Meiryo UI" w:hAnsi="Meiryo UI" w:hint="eastAsia"/>
          <w:color w:val="auto"/>
        </w:rPr>
        <w:t>、Ｂ」評価の場合</w:t>
      </w:r>
      <w:r>
        <w:rPr>
          <w:rFonts w:ascii="Meiryo UI" w:eastAsia="Meiryo UI" w:hAnsi="Meiryo UI" w:hint="eastAsia"/>
          <w:color w:val="auto"/>
        </w:rPr>
        <w:tab/>
        <w:t>：加算なし</w:t>
      </w:r>
    </w:p>
    <w:p w:rsidR="00E71FAC" w:rsidRDefault="00500F8F">
      <w:pPr>
        <w:overflowPunct/>
        <w:autoSpaceDE w:val="0"/>
        <w:autoSpaceDN w:val="0"/>
        <w:spacing w:line="400" w:lineRule="exact"/>
        <w:ind w:firstLineChars="100" w:firstLine="240"/>
        <w:jc w:val="left"/>
        <w:textAlignment w:val="auto"/>
        <w:rPr>
          <w:rFonts w:ascii="Meiryo UI" w:eastAsia="Meiryo UI" w:hAnsi="Meiryo UI"/>
          <w:color w:val="auto"/>
        </w:rPr>
      </w:pPr>
      <w:r>
        <w:rPr>
          <w:rFonts w:ascii="Meiryo UI" w:eastAsia="Meiryo UI" w:hAnsi="Meiryo UI" w:hint="eastAsia"/>
          <w:color w:val="auto"/>
        </w:rPr>
        <w:t>「Ｃ、Ｃ</w:t>
      </w:r>
      <w:r>
        <w:rPr>
          <w:rFonts w:ascii="Meiryo UI" w:eastAsia="Meiryo UI" w:hAnsi="Meiryo UI" w:hint="eastAsia"/>
          <w:color w:val="auto"/>
          <w:vertAlign w:val="superscript"/>
        </w:rPr>
        <w:t>－</w:t>
      </w:r>
      <w:r>
        <w:rPr>
          <w:rFonts w:ascii="Meiryo UI" w:eastAsia="Meiryo UI" w:hAnsi="Meiryo UI" w:hint="eastAsia"/>
          <w:color w:val="auto"/>
        </w:rPr>
        <w:t>」評価の場合</w:t>
      </w:r>
      <w:r>
        <w:rPr>
          <w:rFonts w:ascii="Meiryo UI" w:eastAsia="Meiryo UI" w:hAnsi="Meiryo UI" w:hint="eastAsia"/>
          <w:color w:val="auto"/>
        </w:rPr>
        <w:tab/>
        <w:t>：▲５％</w:t>
      </w:r>
    </w:p>
    <w:p w:rsidR="00E71FAC" w:rsidRDefault="00500F8F">
      <w:pPr>
        <w:overflowPunct/>
        <w:autoSpaceDE w:val="0"/>
        <w:autoSpaceDN w:val="0"/>
        <w:spacing w:line="400" w:lineRule="exact"/>
        <w:ind w:leftChars="100" w:left="2268" w:hangingChars="845" w:hanging="2028"/>
        <w:jc w:val="left"/>
        <w:textAlignment w:val="auto"/>
        <w:rPr>
          <w:rFonts w:ascii="Meiryo UI" w:eastAsia="Meiryo UI" w:hAnsi="Meiryo UI"/>
          <w:color w:val="auto"/>
        </w:rPr>
      </w:pPr>
      <w:r>
        <w:rPr>
          <w:rFonts w:ascii="Meiryo UI" w:eastAsia="Meiryo UI" w:hAnsi="Meiryo UI" w:hint="eastAsia"/>
          <w:color w:val="auto"/>
        </w:rPr>
        <w:t>「Ｄ」評価の場合</w:t>
      </w:r>
      <w:r>
        <w:rPr>
          <w:rFonts w:ascii="Meiryo UI" w:eastAsia="Meiryo UI" w:hAnsi="Meiryo UI" w:hint="eastAsia"/>
          <w:color w:val="auto"/>
        </w:rPr>
        <w:tab/>
      </w:r>
      <w:r>
        <w:rPr>
          <w:rFonts w:ascii="Meiryo UI" w:eastAsia="Meiryo UI" w:hAnsi="Meiryo UI" w:hint="eastAsia"/>
          <w:color w:val="auto"/>
        </w:rPr>
        <w:tab/>
        <w:t>：改善状況等を調査・検討した結果、やむを得ないと判断され</w:t>
      </w:r>
    </w:p>
    <w:p w:rsidR="00E71FAC" w:rsidRDefault="00500F8F">
      <w:pPr>
        <w:overflowPunct/>
        <w:autoSpaceDE w:val="0"/>
        <w:autoSpaceDN w:val="0"/>
        <w:spacing w:line="400" w:lineRule="exact"/>
        <w:ind w:leftChars="100" w:left="2268" w:hangingChars="845" w:hanging="2028"/>
        <w:jc w:val="left"/>
        <w:textAlignment w:val="auto"/>
        <w:rPr>
          <w:rFonts w:ascii="Meiryo UI" w:eastAsia="Meiryo UI" w:hAnsi="Meiryo UI"/>
          <w:color w:val="auto"/>
        </w:rPr>
      </w:pPr>
      <w:r>
        <w:rPr>
          <w:rFonts w:ascii="Meiryo UI" w:eastAsia="Meiryo UI" w:hAnsi="Meiryo UI" w:hint="eastAsia"/>
          <w:color w:val="auto"/>
        </w:rPr>
        <w:tab/>
        <w:t xml:space="preserve">　　　　る場合は、次回選定時において指定管理者候補として選定し</w:t>
      </w:r>
    </w:p>
    <w:p w:rsidR="00E71FAC" w:rsidRDefault="00500F8F">
      <w:pPr>
        <w:overflowPunct/>
        <w:autoSpaceDE w:val="0"/>
        <w:autoSpaceDN w:val="0"/>
        <w:spacing w:line="400" w:lineRule="exact"/>
        <w:ind w:leftChars="100" w:left="2268" w:hangingChars="845" w:hanging="2028"/>
        <w:jc w:val="left"/>
        <w:textAlignment w:val="auto"/>
        <w:rPr>
          <w:rFonts w:ascii="Meiryo UI" w:eastAsia="Meiryo UI" w:hAnsi="Meiryo UI"/>
          <w:color w:val="auto"/>
          <w:sz w:val="20"/>
        </w:rPr>
      </w:pPr>
      <w:r>
        <w:rPr>
          <w:rFonts w:ascii="Meiryo UI" w:eastAsia="Meiryo UI" w:hAnsi="Meiryo UI" w:hint="eastAsia"/>
          <w:color w:val="auto"/>
        </w:rPr>
        <w:tab/>
        <w:t xml:space="preserve">　　　　ないことも検討</w:t>
      </w:r>
    </w:p>
    <w:p w:rsidR="00E71FAC" w:rsidRDefault="00500F8F">
      <w:pPr>
        <w:overflowPunct/>
        <w:autoSpaceDE w:val="0"/>
        <w:autoSpaceDN w:val="0"/>
        <w:spacing w:line="400" w:lineRule="exact"/>
        <w:jc w:val="left"/>
        <w:textAlignment w:val="auto"/>
        <w:rPr>
          <w:rFonts w:ascii="Meiryo UI" w:eastAsia="Meiryo UI" w:hAnsi="Meiryo UI"/>
          <w:color w:val="auto"/>
        </w:rPr>
      </w:pPr>
      <w:r>
        <w:rPr>
          <w:rFonts w:ascii="Meiryo UI" w:eastAsia="Meiryo UI" w:hAnsi="Meiryo UI" w:hint="eastAsia"/>
          <w:color w:val="auto"/>
        </w:rPr>
        <w:t>４．実施の条件</w:t>
      </w:r>
    </w:p>
    <w:p w:rsidR="00E71FAC" w:rsidRDefault="00500F8F">
      <w:pPr>
        <w:overflowPunct/>
        <w:autoSpaceDE w:val="0"/>
        <w:autoSpaceDN w:val="0"/>
        <w:spacing w:line="400" w:lineRule="exact"/>
        <w:ind w:firstLineChars="100" w:firstLine="240"/>
        <w:jc w:val="left"/>
        <w:textAlignment w:val="auto"/>
        <w:rPr>
          <w:rFonts w:ascii="Meiryo UI" w:eastAsia="Meiryo UI" w:hAnsi="Meiryo UI"/>
          <w:color w:val="auto"/>
        </w:rPr>
      </w:pPr>
      <w:r>
        <w:rPr>
          <w:rFonts w:ascii="Meiryo UI" w:eastAsia="Meiryo UI" w:hAnsi="Meiryo UI" w:hint="eastAsia"/>
          <w:color w:val="auto"/>
        </w:rPr>
        <w:t>本制度に基づく加減算は、次期指定期間においても、指定業務及び指定管理者が以下の同一性すべてを満たすことを条件として実施する。</w:t>
      </w:r>
    </w:p>
    <w:p w:rsidR="00E71FAC" w:rsidRDefault="00500F8F">
      <w:pPr>
        <w:overflowPunct/>
        <w:autoSpaceDE w:val="0"/>
        <w:autoSpaceDN w:val="0"/>
        <w:spacing w:line="400" w:lineRule="exact"/>
        <w:jc w:val="left"/>
        <w:textAlignment w:val="auto"/>
        <w:rPr>
          <w:rFonts w:ascii="Meiryo UI" w:eastAsia="Meiryo UI" w:hAnsi="Meiryo UI"/>
          <w:color w:val="auto"/>
        </w:rPr>
      </w:pPr>
      <w:r>
        <w:rPr>
          <w:rFonts w:ascii="Meiryo UI" w:eastAsia="Meiryo UI" w:hAnsi="Meiryo UI" w:hint="eastAsia"/>
          <w:color w:val="auto"/>
        </w:rPr>
        <w:t>（1）事業者の同一性</w:t>
      </w:r>
    </w:p>
    <w:p w:rsidR="00E71FAC" w:rsidRDefault="00500F8F">
      <w:pPr>
        <w:overflowPunct/>
        <w:autoSpaceDE w:val="0"/>
        <w:autoSpaceDN w:val="0"/>
        <w:spacing w:line="400" w:lineRule="exact"/>
        <w:ind w:leftChars="118" w:left="283" w:firstLineChars="117" w:firstLine="281"/>
        <w:jc w:val="left"/>
        <w:textAlignment w:val="auto"/>
        <w:rPr>
          <w:rFonts w:ascii="Meiryo UI" w:eastAsia="Meiryo UI" w:hAnsi="Meiryo UI"/>
          <w:color w:val="auto"/>
        </w:rPr>
      </w:pPr>
      <w:r>
        <w:rPr>
          <w:rFonts w:ascii="Meiryo UI" w:eastAsia="Meiryo UI" w:hAnsi="Meiryo UI" w:hint="eastAsia"/>
          <w:color w:val="auto"/>
        </w:rPr>
        <w:t>現指定管理者の事業内容や財務内容、組織等に大幅な変更がなく、同一性を有していると認められること。また、グループである場合は、構成員が同一であり、かつ各々の構成員が同一性を有していると認められること。</w:t>
      </w:r>
    </w:p>
    <w:p w:rsidR="00E71FAC" w:rsidRDefault="00500F8F">
      <w:pPr>
        <w:overflowPunct/>
        <w:autoSpaceDE w:val="0"/>
        <w:autoSpaceDN w:val="0"/>
        <w:spacing w:line="400" w:lineRule="exact"/>
        <w:jc w:val="left"/>
        <w:textAlignment w:val="auto"/>
        <w:rPr>
          <w:rFonts w:ascii="Meiryo UI" w:eastAsia="Meiryo UI" w:hAnsi="Meiryo UI"/>
          <w:color w:val="auto"/>
        </w:rPr>
      </w:pPr>
      <w:r>
        <w:rPr>
          <w:rFonts w:ascii="Meiryo UI" w:eastAsia="Meiryo UI" w:hAnsi="Meiryo UI" w:hint="eastAsia"/>
          <w:color w:val="auto"/>
        </w:rPr>
        <w:t>（2）事業内容の同一性</w:t>
      </w:r>
    </w:p>
    <w:p w:rsidR="00E71FAC" w:rsidRDefault="00500F8F">
      <w:pPr>
        <w:overflowPunct/>
        <w:autoSpaceDE w:val="0"/>
        <w:autoSpaceDN w:val="0"/>
        <w:spacing w:line="400" w:lineRule="exact"/>
        <w:ind w:leftChars="118" w:left="283" w:firstLineChars="117" w:firstLine="281"/>
        <w:jc w:val="left"/>
        <w:textAlignment w:val="auto"/>
        <w:rPr>
          <w:rFonts w:ascii="Meiryo UI" w:eastAsia="Meiryo UI" w:hAnsi="Meiryo UI"/>
          <w:color w:val="auto"/>
        </w:rPr>
      </w:pPr>
      <w:r>
        <w:rPr>
          <w:rFonts w:ascii="Meiryo UI" w:eastAsia="Meiryo UI" w:hAnsi="Meiryo UI" w:hint="eastAsia"/>
          <w:color w:val="auto"/>
        </w:rPr>
        <w:t>対象となる施設の「指定管理者が行う管理の基準及び業務の範囲」及び施設で行われる事業内容に大幅な変更がないこと。</w:t>
      </w:r>
    </w:p>
    <w:p w:rsidR="00E71FAC" w:rsidRDefault="00500F8F">
      <w:pPr>
        <w:overflowPunct/>
        <w:autoSpaceDE w:val="0"/>
        <w:autoSpaceDN w:val="0"/>
        <w:spacing w:line="400" w:lineRule="exact"/>
        <w:jc w:val="left"/>
        <w:textAlignment w:val="auto"/>
        <w:rPr>
          <w:rFonts w:ascii="Meiryo UI" w:eastAsia="Meiryo UI" w:hAnsi="Meiryo UI"/>
          <w:color w:val="auto"/>
        </w:rPr>
      </w:pPr>
      <w:r>
        <w:rPr>
          <w:rFonts w:ascii="Meiryo UI" w:eastAsia="Meiryo UI" w:hAnsi="Meiryo UI" w:hint="eastAsia"/>
          <w:color w:val="auto"/>
        </w:rPr>
        <w:t>（3）施設の同一性</w:t>
      </w:r>
    </w:p>
    <w:p w:rsidR="00E71FAC" w:rsidRDefault="00500F8F">
      <w:pPr>
        <w:overflowPunct/>
        <w:autoSpaceDE w:val="0"/>
        <w:autoSpaceDN w:val="0"/>
        <w:spacing w:line="400" w:lineRule="exact"/>
        <w:ind w:leftChars="118" w:left="283" w:firstLineChars="117" w:firstLine="281"/>
        <w:jc w:val="left"/>
        <w:textAlignment w:val="auto"/>
        <w:rPr>
          <w:rFonts w:ascii="Meiryo UI" w:eastAsia="Meiryo UI" w:hAnsi="Meiryo UI"/>
          <w:color w:val="auto"/>
        </w:rPr>
      </w:pPr>
      <w:r>
        <w:rPr>
          <w:rFonts w:ascii="Meiryo UI" w:eastAsia="Meiryo UI" w:hAnsi="Meiryo UI" w:hint="eastAsia"/>
          <w:color w:val="auto"/>
        </w:rPr>
        <w:t>対象となる施設の指定管理者指定の単位や、複数施設を一括で又はグループ化のうえ指定する場合には、その構成施設に大幅な変更がないこと。</w:t>
      </w:r>
    </w:p>
    <w:sectPr w:rsidR="00E71FAC">
      <w:headerReference w:type="even" r:id="rId6"/>
      <w:headerReference w:type="default" r:id="rId7"/>
      <w:footerReference w:type="even" r:id="rId8"/>
      <w:footerReference w:type="default" r:id="rId9"/>
      <w:headerReference w:type="first" r:id="rId10"/>
      <w:footerReference w:type="first" r:id="rId11"/>
      <w:type w:val="continuous"/>
      <w:pgSz w:w="11906" w:h="16838"/>
      <w:pgMar w:top="1418" w:right="1134" w:bottom="851" w:left="1134" w:header="720" w:footer="720" w:gutter="0"/>
      <w:pgNumType w:fmt="numberInDash" w:start="1"/>
      <w:cols w:space="720"/>
      <w:noEndnote/>
      <w:docGrid w:type="lines" w:linePitch="455"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1B5F" w:rsidRDefault="00500F8F">
      <w:r>
        <w:separator/>
      </w:r>
    </w:p>
  </w:endnote>
  <w:endnote w:type="continuationSeparator" w:id="0">
    <w:p w:rsidR="00631B5F" w:rsidRDefault="00500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1733" w:rsidRDefault="00E9173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1733" w:rsidRDefault="00E91733">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1733" w:rsidRDefault="00E9173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1B5F" w:rsidRDefault="00500F8F">
      <w:r>
        <w:separator/>
      </w:r>
    </w:p>
  </w:footnote>
  <w:footnote w:type="continuationSeparator" w:id="0">
    <w:p w:rsidR="00631B5F" w:rsidRDefault="00500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1733" w:rsidRDefault="00E9173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FAC" w:rsidRDefault="00E91733">
    <w:pPr>
      <w:pStyle w:val="a3"/>
      <w:wordWrap w:val="0"/>
      <w:jc w:val="right"/>
      <w:rPr>
        <w:sz w:val="21"/>
      </w:rPr>
    </w:pPr>
    <w:r>
      <w:rPr>
        <w:rFonts w:ascii="Meiryo UI" w:eastAsia="Meiryo UI" w:hAnsi="Meiryo UI" w:hint="eastAsia"/>
      </w:rPr>
      <w:t>ハンドブック</w:t>
    </w:r>
    <w:bookmarkStart w:id="0" w:name="_GoBack"/>
    <w:bookmarkEnd w:id="0"/>
    <w:r w:rsidR="00500F8F">
      <w:rPr>
        <w:rFonts w:ascii="Meiryo UI" w:eastAsia="Meiryo UI" w:hAnsi="Meiryo UI" w:hint="eastAsia"/>
        <w:sz w:val="22"/>
      </w:rPr>
      <w:t>資料編　№</w:t>
    </w:r>
    <w:r w:rsidR="00500F8F">
      <w:rPr>
        <w:rFonts w:ascii="Meiryo UI" w:eastAsia="Meiryo UI" w:hAnsi="Meiryo UI"/>
        <w:sz w:val="22"/>
      </w:rPr>
      <w:t>4</w:t>
    </w:r>
    <w:r w:rsidR="00500F8F">
      <w:rPr>
        <w:rFonts w:ascii="Meiryo UI" w:eastAsia="Meiryo UI" w:hAnsi="Meiryo UI" w:hint="eastAsia"/>
        <w:sz w:val="22"/>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1733" w:rsidRDefault="00E9173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1006"/>
  <w:hyphenationZone w:val="0"/>
  <w:drawingGridHorizontalSpacing w:val="126"/>
  <w:drawingGridVerticalSpacing w:val="455"/>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E71FAC"/>
    <w:rsid w:val="00500F8F"/>
    <w:rsid w:val="00631B5F"/>
    <w:rsid w:val="00E71FAC"/>
    <w:rsid w:val="00E91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BF293D24-5B09-471B-95D1-AF5BA702E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rFonts w:ascii="ＭＳ 明朝" w:eastAsia="ＭＳ 明朝" w:hAnsi="ＭＳ 明朝"/>
      <w:color w:val="000000"/>
      <w:kern w:val="0"/>
      <w:sz w:val="24"/>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rFonts w:ascii="ＭＳ 明朝" w:eastAsia="ＭＳ 明朝" w:hAnsi="ＭＳ 明朝"/>
      <w:color w:val="000000"/>
      <w:kern w:val="0"/>
      <w:sz w:val="24"/>
    </w:rPr>
  </w:style>
  <w:style w:type="character" w:styleId="a7">
    <w:name w:val="page number"/>
  </w:style>
  <w:style w:type="paragraph" w:styleId="a8">
    <w:name w:val="Balloon Text"/>
    <w:basedOn w:val="a"/>
    <w:link w:val="a9"/>
    <w:semiHidden/>
    <w:rPr>
      <w:rFonts w:ascii="Arial" w:eastAsia="ＭＳ ゴシック" w:hAnsi="Arial"/>
      <w:sz w:val="18"/>
    </w:rPr>
  </w:style>
  <w:style w:type="character" w:customStyle="1" w:styleId="a9">
    <w:name w:val="吹き出し (文字)"/>
    <w:link w:val="a8"/>
    <w:rPr>
      <w:rFonts w:ascii="Arial" w:eastAsia="ＭＳ ゴシック" w:hAnsi="Arial"/>
      <w:color w:val="000000"/>
      <w:sz w:val="18"/>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pPr>
      <w:widowControl w:val="0"/>
      <w:overflowPunct w:val="0"/>
      <w:adjustRightInd w:val="0"/>
      <w:jc w:val="both"/>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13"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header" Target="header2.xml" />
  <Relationship Id="rId12"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11" Type="http://schemas.openxmlformats.org/officeDocument/2006/relationships/footer" Target="footer3.xml" />
  <Relationship Id="rId5" Type="http://schemas.openxmlformats.org/officeDocument/2006/relationships/endnotes" Target="endnotes.xml" />
  <Relationship Id="rId10" Type="http://schemas.openxmlformats.org/officeDocument/2006/relationships/header" Target="header3.xml" />
  <Relationship Id="rId4" Type="http://schemas.openxmlformats.org/officeDocument/2006/relationships/footnotes" Target="footnotes.xml" />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107</Words>
  <Characters>610</Characters>
  <Application>Microsoft Office Word</Application>
  <DocSecurity>0</DocSecurity>
  <Lines>5</Lines>
  <Paragraphs>1</Paragraphs>
  <ScaleCrop>false</ScaleCrop>
  <Company>maniwa</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「市町村の自立力向上のための県からの事務・権限移譲計画」</dc:title>
  <dc:creator>岡山県</dc:creator>
  <cp:lastModifiedBy>鈴木　貴雅</cp:lastModifiedBy>
  <cp:revision>5</cp:revision>
  <cp:lastPrinted>2022-02-13T00:33:00Z</cp:lastPrinted>
  <dcterms:created xsi:type="dcterms:W3CDTF">2018-05-13T04:35:00Z</dcterms:created>
  <dcterms:modified xsi:type="dcterms:W3CDTF">2024-03-27T02:42:00Z</dcterms:modified>
</cp:coreProperties>
</file>